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Ind w:w="-195" w:type="dxa"/>
        <w:tblLook w:val="04A0" w:firstRow="1" w:lastRow="0" w:firstColumn="1" w:lastColumn="0" w:noHBand="0" w:noVBand="1"/>
      </w:tblPr>
      <w:tblGrid>
        <w:gridCol w:w="2182"/>
        <w:gridCol w:w="7358"/>
      </w:tblGrid>
      <w:tr w:rsidR="00ED2B89" w:rsidRPr="00DD6C05" w:rsidTr="00A37559">
        <w:tc>
          <w:tcPr>
            <w:tcW w:w="2252" w:type="dxa"/>
          </w:tcPr>
          <w:p w:rsidR="00ED2B89" w:rsidRDefault="00ED2B89" w:rsidP="00A37559">
            <w:pPr>
              <w:spacing w:after="0" w:line="240" w:lineRule="auto"/>
              <w:rPr>
                <w:sz w:val="24"/>
                <w:szCs w:val="24"/>
              </w:rPr>
            </w:pPr>
            <w:proofErr w:type="spellStart"/>
            <w:r>
              <w:rPr>
                <w:rFonts w:eastAsia="Malgun Gothic"/>
                <w:sz w:val="24"/>
                <w:szCs w:val="24"/>
              </w:rPr>
              <w:t>Name</w:t>
            </w:r>
            <w:proofErr w:type="spellEnd"/>
            <w:r>
              <w:rPr>
                <w:rFonts w:eastAsia="Malgun Gothic"/>
                <w:sz w:val="24"/>
                <w:szCs w:val="24"/>
              </w:rPr>
              <w:t xml:space="preserve"> </w:t>
            </w:r>
            <w:proofErr w:type="spellStart"/>
            <w:r>
              <w:rPr>
                <w:rFonts w:eastAsia="Malgun Gothic"/>
                <w:sz w:val="24"/>
                <w:szCs w:val="24"/>
              </w:rPr>
              <w:t>of</w:t>
            </w:r>
            <w:proofErr w:type="spellEnd"/>
            <w:r>
              <w:rPr>
                <w:rFonts w:eastAsia="Malgun Gothic"/>
                <w:sz w:val="24"/>
                <w:szCs w:val="24"/>
              </w:rPr>
              <w:t xml:space="preserve"> </w:t>
            </w:r>
            <w:proofErr w:type="spellStart"/>
            <w:r>
              <w:rPr>
                <w:rFonts w:eastAsia="Malgun Gothic"/>
                <w:sz w:val="24"/>
                <w:szCs w:val="24"/>
              </w:rPr>
              <w:t>educational</w:t>
            </w:r>
            <w:proofErr w:type="spellEnd"/>
            <w:r>
              <w:rPr>
                <w:rFonts w:eastAsia="Malgun Gothic"/>
                <w:sz w:val="24"/>
                <w:szCs w:val="24"/>
              </w:rPr>
              <w:t xml:space="preserve"> </w:t>
            </w:r>
            <w:proofErr w:type="spellStart"/>
            <w:r>
              <w:rPr>
                <w:rFonts w:eastAsia="Malgun Gothic"/>
                <w:sz w:val="24"/>
                <w:szCs w:val="24"/>
              </w:rPr>
              <w:t>programs</w:t>
            </w:r>
            <w:proofErr w:type="spellEnd"/>
          </w:p>
        </w:tc>
        <w:tc>
          <w:tcPr>
            <w:tcW w:w="7514" w:type="dxa"/>
          </w:tcPr>
          <w:p w:rsidR="00ED2B89" w:rsidRPr="00DD6C05" w:rsidRDefault="00ED2B89" w:rsidP="00A37559">
            <w:pPr>
              <w:spacing w:after="0" w:line="240" w:lineRule="auto"/>
              <w:rPr>
                <w:sz w:val="24"/>
                <w:szCs w:val="24"/>
                <w:lang w:val="en-US"/>
              </w:rPr>
            </w:pPr>
            <w:r w:rsidRPr="00DD6C05">
              <w:rPr>
                <w:sz w:val="24"/>
                <w:szCs w:val="24"/>
                <w:lang w:val="en-US" w:eastAsia="zh-CN"/>
              </w:rPr>
              <w:t>8</w:t>
            </w:r>
            <w:r>
              <w:rPr>
                <w:sz w:val="24"/>
                <w:szCs w:val="24"/>
                <w:lang w:val="en-US" w:eastAsia="zh-CN"/>
              </w:rPr>
              <w:t xml:space="preserve">D01705 </w:t>
            </w:r>
            <w:r>
              <w:rPr>
                <w:rFonts w:eastAsia="Malgun Gothic"/>
                <w:sz w:val="24"/>
                <w:szCs w:val="24"/>
                <w:lang w:val="en-US"/>
              </w:rPr>
              <w:t>Foreign language: two foreign languages</w:t>
            </w:r>
            <w:r>
              <w:rPr>
                <w:rFonts w:eastAsia="Malgun Gothic"/>
                <w:sz w:val="24"/>
                <w:szCs w:val="24"/>
                <w:lang w:val="kk-KZ"/>
              </w:rPr>
              <w:t xml:space="preserve"> </w:t>
            </w:r>
          </w:p>
        </w:tc>
      </w:tr>
      <w:tr w:rsidR="00ED2B89" w:rsidTr="00A37559">
        <w:trPr>
          <w:trHeight w:val="625"/>
        </w:trPr>
        <w:tc>
          <w:tcPr>
            <w:tcW w:w="2252" w:type="dxa"/>
          </w:tcPr>
          <w:p w:rsidR="00ED2B89" w:rsidRDefault="00ED2B89" w:rsidP="00A37559">
            <w:pPr>
              <w:spacing w:after="0" w:line="240" w:lineRule="auto"/>
              <w:rPr>
                <w:sz w:val="24"/>
                <w:szCs w:val="24"/>
                <w:lang w:val="kk-KZ"/>
              </w:rPr>
            </w:pPr>
            <w:r>
              <w:rPr>
                <w:sz w:val="24"/>
                <w:szCs w:val="24"/>
                <w:lang w:val="en-US"/>
              </w:rPr>
              <w:t>The field of education</w:t>
            </w:r>
            <w:r>
              <w:rPr>
                <w:rFonts w:eastAsia="Malgun Gothic"/>
                <w:sz w:val="24"/>
                <w:szCs w:val="24"/>
                <w:lang w:val="en-US"/>
              </w:rPr>
              <w:t xml:space="preserve"> </w:t>
            </w:r>
          </w:p>
        </w:tc>
        <w:tc>
          <w:tcPr>
            <w:tcW w:w="7514" w:type="dxa"/>
          </w:tcPr>
          <w:p w:rsidR="00ED2B89" w:rsidRDefault="00ED2B89" w:rsidP="00A37559">
            <w:pPr>
              <w:spacing w:after="0" w:line="240" w:lineRule="auto"/>
              <w:rPr>
                <w:sz w:val="24"/>
                <w:szCs w:val="24"/>
                <w:lang w:val="kk-KZ"/>
              </w:rPr>
            </w:pPr>
            <w:r>
              <w:rPr>
                <w:sz w:val="24"/>
                <w:szCs w:val="24"/>
                <w:lang w:val="kk-KZ"/>
              </w:rPr>
              <w:t xml:space="preserve">8D01 </w:t>
            </w:r>
            <w:proofErr w:type="spellStart"/>
            <w:r>
              <w:rPr>
                <w:rFonts w:eastAsia="Malgun Gothic"/>
                <w:sz w:val="24"/>
                <w:szCs w:val="24"/>
              </w:rPr>
              <w:t>Pedagogical</w:t>
            </w:r>
            <w:proofErr w:type="spellEnd"/>
            <w:r>
              <w:rPr>
                <w:rFonts w:eastAsia="Malgun Gothic"/>
                <w:sz w:val="24"/>
                <w:szCs w:val="24"/>
              </w:rPr>
              <w:t xml:space="preserve"> </w:t>
            </w:r>
            <w:proofErr w:type="spellStart"/>
            <w:r>
              <w:rPr>
                <w:rFonts w:eastAsia="Malgun Gothic"/>
                <w:sz w:val="24"/>
                <w:szCs w:val="24"/>
              </w:rPr>
              <w:t>Sciences</w:t>
            </w:r>
            <w:proofErr w:type="spellEnd"/>
          </w:p>
        </w:tc>
      </w:tr>
      <w:tr w:rsidR="00ED2B89" w:rsidRPr="00DD6C05" w:rsidTr="00A37559">
        <w:tc>
          <w:tcPr>
            <w:tcW w:w="2252" w:type="dxa"/>
          </w:tcPr>
          <w:p w:rsidR="00ED2B89" w:rsidRDefault="00ED2B89" w:rsidP="00A37559">
            <w:pPr>
              <w:spacing w:after="0" w:line="240" w:lineRule="auto"/>
              <w:rPr>
                <w:sz w:val="24"/>
                <w:szCs w:val="24"/>
              </w:rPr>
            </w:pPr>
            <w:r>
              <w:rPr>
                <w:sz w:val="24"/>
                <w:szCs w:val="24"/>
                <w:lang w:val="en-US"/>
              </w:rPr>
              <w:t>Training areas</w:t>
            </w:r>
          </w:p>
        </w:tc>
        <w:tc>
          <w:tcPr>
            <w:tcW w:w="7514" w:type="dxa"/>
          </w:tcPr>
          <w:p w:rsidR="00ED2B89" w:rsidRDefault="00ED2B89" w:rsidP="00A37559">
            <w:pPr>
              <w:spacing w:after="0" w:line="240" w:lineRule="auto"/>
              <w:rPr>
                <w:sz w:val="24"/>
                <w:szCs w:val="24"/>
                <w:lang w:val="kk-KZ"/>
              </w:rPr>
            </w:pPr>
            <w:r w:rsidRPr="00DD6C05">
              <w:rPr>
                <w:sz w:val="24"/>
                <w:szCs w:val="24"/>
                <w:lang w:val="en-US"/>
              </w:rPr>
              <w:t xml:space="preserve">8D017 </w:t>
            </w:r>
            <w:r>
              <w:rPr>
                <w:sz w:val="24"/>
                <w:szCs w:val="24"/>
                <w:lang w:val="en-US"/>
              </w:rPr>
              <w:t>T</w:t>
            </w:r>
            <w:r>
              <w:rPr>
                <w:sz w:val="24"/>
                <w:szCs w:val="24"/>
                <w:lang w:val="kk-KZ"/>
              </w:rPr>
              <w:t>raining</w:t>
            </w:r>
            <w:r>
              <w:rPr>
                <w:sz w:val="24"/>
                <w:szCs w:val="24"/>
                <w:lang w:val="en-US"/>
              </w:rPr>
              <w:t xml:space="preserve"> t</w:t>
            </w:r>
            <w:r>
              <w:rPr>
                <w:sz w:val="24"/>
                <w:szCs w:val="24"/>
                <w:lang w:val="kk-KZ"/>
              </w:rPr>
              <w:t>eacher</w:t>
            </w:r>
            <w:r>
              <w:rPr>
                <w:sz w:val="24"/>
                <w:szCs w:val="24"/>
                <w:lang w:val="en-US"/>
              </w:rPr>
              <w:t>s</w:t>
            </w:r>
            <w:r>
              <w:rPr>
                <w:sz w:val="24"/>
                <w:szCs w:val="24"/>
                <w:lang w:val="kk-KZ"/>
              </w:rPr>
              <w:t xml:space="preserve">  in language and literature</w:t>
            </w:r>
          </w:p>
        </w:tc>
      </w:tr>
      <w:tr w:rsidR="00ED2B89" w:rsidRPr="00DD6C05" w:rsidTr="00A37559">
        <w:tc>
          <w:tcPr>
            <w:tcW w:w="2252" w:type="dxa"/>
          </w:tcPr>
          <w:p w:rsidR="00ED2B89" w:rsidRDefault="00ED2B89" w:rsidP="00A37559">
            <w:pPr>
              <w:spacing w:after="0" w:line="240" w:lineRule="auto"/>
              <w:rPr>
                <w:sz w:val="24"/>
                <w:szCs w:val="24"/>
              </w:rPr>
            </w:pPr>
            <w:proofErr w:type="spellStart"/>
            <w:r>
              <w:rPr>
                <w:sz w:val="24"/>
                <w:szCs w:val="24"/>
              </w:rPr>
              <w:t>Classification</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education</w:t>
            </w:r>
            <w:proofErr w:type="spellEnd"/>
          </w:p>
        </w:tc>
        <w:tc>
          <w:tcPr>
            <w:tcW w:w="7514" w:type="dxa"/>
          </w:tcPr>
          <w:p w:rsidR="00ED2B89" w:rsidRDefault="00ED2B89" w:rsidP="00A37559">
            <w:pPr>
              <w:spacing w:after="0" w:line="240" w:lineRule="auto"/>
              <w:rPr>
                <w:sz w:val="24"/>
                <w:szCs w:val="24"/>
                <w:lang w:val="en-US"/>
              </w:rPr>
            </w:pPr>
            <w:r>
              <w:rPr>
                <w:sz w:val="24"/>
                <w:szCs w:val="24"/>
                <w:lang w:val="en-US"/>
              </w:rPr>
              <w:t>D019 Training of foreign language teachers</w:t>
            </w:r>
          </w:p>
        </w:tc>
      </w:tr>
      <w:tr w:rsidR="00ED2B89" w:rsidRPr="00DD6C05" w:rsidTr="00A37559">
        <w:trPr>
          <w:trHeight w:val="1973"/>
        </w:trPr>
        <w:tc>
          <w:tcPr>
            <w:tcW w:w="2252" w:type="dxa"/>
          </w:tcPr>
          <w:p w:rsidR="00ED2B89" w:rsidRPr="00DD6C05" w:rsidRDefault="00ED2B89" w:rsidP="00A37559">
            <w:pPr>
              <w:spacing w:after="0" w:line="240" w:lineRule="auto"/>
              <w:rPr>
                <w:sz w:val="24"/>
                <w:szCs w:val="24"/>
                <w:lang w:val="en-US"/>
              </w:rPr>
            </w:pPr>
            <w:r>
              <w:rPr>
                <w:rFonts w:eastAsia="Malgun Gothic"/>
                <w:sz w:val="24"/>
                <w:szCs w:val="24"/>
                <w:lang w:val="en-US"/>
              </w:rPr>
              <w:t>Purpose of the Educational Program</w:t>
            </w:r>
          </w:p>
        </w:tc>
        <w:tc>
          <w:tcPr>
            <w:tcW w:w="7514" w:type="dxa"/>
          </w:tcPr>
          <w:p w:rsidR="00ED2B89" w:rsidRPr="00DD6C05" w:rsidRDefault="00ED2B89" w:rsidP="00A37559">
            <w:pPr>
              <w:spacing w:after="0" w:line="240" w:lineRule="auto"/>
              <w:jc w:val="both"/>
              <w:rPr>
                <w:sz w:val="24"/>
                <w:szCs w:val="24"/>
                <w:lang w:val="en-US"/>
              </w:rPr>
            </w:pPr>
            <w:proofErr w:type="gramStart"/>
            <w:r>
              <w:rPr>
                <w:rFonts w:eastAsia="Malgun Gothic"/>
                <w:iCs/>
                <w:sz w:val="24"/>
                <w:szCs w:val="24"/>
                <w:lang w:val="en-US"/>
              </w:rPr>
              <w:t>Preparation of scientific and scientific-pedagogical personnel of higher qualification with profound theoretical and practical individual training in foreign language education, professionally speaking several international languages, capable of innovative activity; to work independently in the field of foreign language education, critically analyze and give a qualified assessment of the issues of teaching foreign languages; develop projects on problems of foreign language education and society; create new conceptual knowledge, reasonably present it to specialists in the context of scientific discussions, work in a team.</w:t>
            </w:r>
            <w:proofErr w:type="gramEnd"/>
          </w:p>
        </w:tc>
      </w:tr>
      <w:tr w:rsidR="00ED2B89" w:rsidTr="00A37559">
        <w:tc>
          <w:tcPr>
            <w:tcW w:w="2252" w:type="dxa"/>
          </w:tcPr>
          <w:p w:rsidR="00ED2B89" w:rsidRDefault="00ED2B89" w:rsidP="00A37559">
            <w:pPr>
              <w:spacing w:after="0" w:line="240" w:lineRule="auto"/>
              <w:rPr>
                <w:sz w:val="24"/>
                <w:szCs w:val="24"/>
                <w:lang w:val="en-US"/>
              </w:rPr>
            </w:pPr>
            <w:r>
              <w:rPr>
                <w:sz w:val="24"/>
                <w:szCs w:val="24"/>
                <w:lang w:val="en-US"/>
              </w:rPr>
              <w:t>Teaching language</w:t>
            </w:r>
          </w:p>
        </w:tc>
        <w:tc>
          <w:tcPr>
            <w:tcW w:w="7514" w:type="dxa"/>
          </w:tcPr>
          <w:p w:rsidR="00ED2B89" w:rsidRDefault="00ED2B89" w:rsidP="00A37559">
            <w:pPr>
              <w:spacing w:after="0" w:line="240" w:lineRule="auto"/>
              <w:rPr>
                <w:sz w:val="24"/>
                <w:szCs w:val="24"/>
                <w:lang w:val="en-US"/>
              </w:rPr>
            </w:pPr>
            <w:r>
              <w:rPr>
                <w:sz w:val="24"/>
                <w:szCs w:val="24"/>
                <w:lang w:val="en-US"/>
              </w:rPr>
              <w:t>Multilanguage</w:t>
            </w:r>
          </w:p>
        </w:tc>
      </w:tr>
      <w:tr w:rsidR="00ED2B89" w:rsidTr="00A37559">
        <w:tc>
          <w:tcPr>
            <w:tcW w:w="2252" w:type="dxa"/>
          </w:tcPr>
          <w:p w:rsidR="00ED2B89" w:rsidRDefault="00ED2B89" w:rsidP="00A37559">
            <w:pPr>
              <w:spacing w:after="0" w:line="240" w:lineRule="auto"/>
              <w:rPr>
                <w:sz w:val="24"/>
                <w:szCs w:val="24"/>
              </w:rPr>
            </w:pPr>
            <w:r>
              <w:rPr>
                <w:rFonts w:eastAsia="Malgun Gothic"/>
                <w:sz w:val="24"/>
                <w:szCs w:val="24"/>
                <w:u w:val="single"/>
                <w:lang w:val="kk-KZ"/>
              </w:rPr>
              <w:t>Labor input</w:t>
            </w:r>
          </w:p>
        </w:tc>
        <w:tc>
          <w:tcPr>
            <w:tcW w:w="7514" w:type="dxa"/>
          </w:tcPr>
          <w:p w:rsidR="00ED2B89" w:rsidRDefault="00ED2B89" w:rsidP="00A37559">
            <w:pPr>
              <w:spacing w:after="0" w:line="240" w:lineRule="auto"/>
              <w:rPr>
                <w:sz w:val="24"/>
                <w:szCs w:val="24"/>
                <w:lang w:eastAsia="zh-CN"/>
              </w:rPr>
            </w:pPr>
            <w:r>
              <w:rPr>
                <w:rFonts w:eastAsia="Malgun Gothic"/>
                <w:sz w:val="24"/>
                <w:szCs w:val="24"/>
                <w:lang w:val="kk-KZ"/>
              </w:rPr>
              <w:t>180 academic credits</w:t>
            </w:r>
          </w:p>
        </w:tc>
      </w:tr>
      <w:tr w:rsidR="00ED2B89" w:rsidRPr="00DD6C05" w:rsidTr="00A37559">
        <w:tc>
          <w:tcPr>
            <w:tcW w:w="2252" w:type="dxa"/>
          </w:tcPr>
          <w:p w:rsidR="00ED2B89" w:rsidRDefault="00ED2B89" w:rsidP="00A37559">
            <w:pPr>
              <w:spacing w:after="0" w:line="240" w:lineRule="auto"/>
              <w:rPr>
                <w:sz w:val="24"/>
                <w:szCs w:val="24"/>
              </w:rPr>
            </w:pPr>
            <w:r>
              <w:rPr>
                <w:rFonts w:eastAsia="Malgun Gothic"/>
                <w:sz w:val="24"/>
                <w:szCs w:val="24"/>
                <w:u w:val="single"/>
                <w:lang w:val="kk-KZ"/>
              </w:rPr>
              <w:t>Awarded degree</w:t>
            </w:r>
          </w:p>
        </w:tc>
        <w:tc>
          <w:tcPr>
            <w:tcW w:w="7514" w:type="dxa"/>
          </w:tcPr>
          <w:p w:rsidR="00ED2B89" w:rsidRDefault="00ED2B89" w:rsidP="00A37559">
            <w:pPr>
              <w:shd w:val="clear" w:color="auto" w:fill="FFFFFF"/>
              <w:tabs>
                <w:tab w:val="left" w:pos="1276"/>
              </w:tabs>
              <w:spacing w:after="0" w:line="240" w:lineRule="auto"/>
              <w:jc w:val="both"/>
              <w:rPr>
                <w:rFonts w:eastAsia="Malgun Gothic"/>
                <w:sz w:val="24"/>
                <w:szCs w:val="24"/>
                <w:lang w:val="en-US"/>
              </w:rPr>
            </w:pPr>
            <w:r>
              <w:rPr>
                <w:rFonts w:eastAsia="Malgun Gothic"/>
                <w:sz w:val="24"/>
                <w:szCs w:val="24"/>
                <w:lang w:val="kk-KZ"/>
              </w:rPr>
              <w:t xml:space="preserve">Doctor of Education in the educational program </w:t>
            </w:r>
            <w:r>
              <w:rPr>
                <w:rFonts w:eastAsia="Malgun Gothic"/>
                <w:sz w:val="24"/>
                <w:szCs w:val="24"/>
                <w:lang w:val="en-US"/>
              </w:rPr>
              <w:t>“</w:t>
            </w:r>
            <w:r>
              <w:rPr>
                <w:rFonts w:eastAsia="Malgun Gothic"/>
                <w:sz w:val="24"/>
                <w:szCs w:val="24"/>
                <w:lang w:val="kk-KZ"/>
              </w:rPr>
              <w:t>8D017</w:t>
            </w:r>
            <w:r>
              <w:rPr>
                <w:rFonts w:eastAsia="Malgun Gothic"/>
                <w:sz w:val="24"/>
                <w:szCs w:val="24"/>
                <w:lang w:val="en-US"/>
              </w:rPr>
              <w:t>05</w:t>
            </w:r>
            <w:r>
              <w:rPr>
                <w:rFonts w:eastAsia="Malgun Gothic"/>
                <w:sz w:val="24"/>
                <w:szCs w:val="24"/>
                <w:lang w:val="kk-KZ"/>
              </w:rPr>
              <w:t xml:space="preserve"> - Foreign Language: two foreign languages</w:t>
            </w:r>
            <w:r>
              <w:rPr>
                <w:rFonts w:eastAsia="Malgun Gothic"/>
                <w:sz w:val="24"/>
                <w:szCs w:val="24"/>
                <w:lang w:val="en-US"/>
              </w:rPr>
              <w:t>”</w:t>
            </w:r>
          </w:p>
          <w:p w:rsidR="00ED2B89" w:rsidRPr="00DD6C05" w:rsidRDefault="00ED2B89" w:rsidP="00A37559">
            <w:pPr>
              <w:spacing w:after="0" w:line="240" w:lineRule="auto"/>
              <w:rPr>
                <w:sz w:val="24"/>
                <w:szCs w:val="24"/>
                <w:lang w:val="en-US"/>
              </w:rPr>
            </w:pPr>
          </w:p>
        </w:tc>
      </w:tr>
      <w:tr w:rsidR="00ED2B89" w:rsidRPr="00ED2B89" w:rsidTr="00A37559">
        <w:tc>
          <w:tcPr>
            <w:tcW w:w="2252" w:type="dxa"/>
          </w:tcPr>
          <w:p w:rsidR="00ED2B89" w:rsidRDefault="00ED2B89" w:rsidP="00A37559">
            <w:pPr>
              <w:spacing w:after="0" w:line="240" w:lineRule="auto"/>
              <w:rPr>
                <w:sz w:val="24"/>
                <w:szCs w:val="24"/>
              </w:rPr>
            </w:pPr>
            <w:r>
              <w:rPr>
                <w:rFonts w:eastAsia="Malgun Gothic"/>
                <w:iCs/>
                <w:sz w:val="24"/>
                <w:szCs w:val="24"/>
                <w:lang w:val="en-US"/>
              </w:rPr>
              <w:t>Learning outcomes</w:t>
            </w:r>
            <w:r>
              <w:rPr>
                <w:sz w:val="24"/>
                <w:szCs w:val="24"/>
              </w:rPr>
              <w:t xml:space="preserve"> </w:t>
            </w:r>
          </w:p>
        </w:tc>
        <w:tc>
          <w:tcPr>
            <w:tcW w:w="7514" w:type="dxa"/>
          </w:tcPr>
          <w:p w:rsidR="00ED2B89" w:rsidRDefault="00ED2B89" w:rsidP="00A37559">
            <w:pPr>
              <w:spacing w:after="0" w:line="240" w:lineRule="auto"/>
              <w:jc w:val="both"/>
              <w:rPr>
                <w:rFonts w:eastAsia="Malgun Gothic"/>
                <w:sz w:val="24"/>
                <w:szCs w:val="24"/>
                <w:lang w:val="en-US"/>
              </w:rPr>
            </w:pPr>
            <w:r>
              <w:rPr>
                <w:rFonts w:eastAsia="Malgun Gothic"/>
                <w:sz w:val="24"/>
                <w:szCs w:val="24"/>
                <w:lang w:val="en-US"/>
              </w:rPr>
              <w:t>Upon completion of this educational program, it is expected that doctoral students will be able to:</w:t>
            </w:r>
          </w:p>
          <w:p w:rsidR="00ED2B89" w:rsidRDefault="00ED2B89" w:rsidP="00A37559">
            <w:pPr>
              <w:spacing w:after="0" w:line="240" w:lineRule="auto"/>
              <w:jc w:val="both"/>
              <w:rPr>
                <w:rFonts w:eastAsia="Malgun Gothic"/>
                <w:sz w:val="24"/>
                <w:szCs w:val="24"/>
                <w:lang w:val="en-US"/>
              </w:rPr>
            </w:pPr>
          </w:p>
          <w:p w:rsidR="00ED2B89" w:rsidRDefault="00ED2B89" w:rsidP="00A37559">
            <w:pPr>
              <w:spacing w:after="0" w:line="240" w:lineRule="auto"/>
              <w:jc w:val="both"/>
              <w:rPr>
                <w:rFonts w:eastAsia="Malgun Gothic"/>
                <w:sz w:val="24"/>
                <w:szCs w:val="24"/>
                <w:lang w:val="en-US"/>
              </w:rPr>
            </w:pPr>
            <w:r>
              <w:rPr>
                <w:rFonts w:eastAsia="Malgun Gothic"/>
                <w:sz w:val="24"/>
                <w:szCs w:val="24"/>
                <w:lang w:val="en-US"/>
              </w:rPr>
              <w:t xml:space="preserve">ON1 Plan, develop, implement, </w:t>
            </w:r>
            <w:proofErr w:type="gramStart"/>
            <w:r>
              <w:rPr>
                <w:rFonts w:eastAsia="Malgun Gothic"/>
                <w:sz w:val="24"/>
                <w:szCs w:val="24"/>
                <w:lang w:val="en-US"/>
              </w:rPr>
              <w:t>adjust</w:t>
            </w:r>
            <w:proofErr w:type="gramEnd"/>
            <w:r>
              <w:rPr>
                <w:rFonts w:eastAsia="Malgun Gothic"/>
                <w:sz w:val="24"/>
                <w:szCs w:val="24"/>
                <w:lang w:val="en-US"/>
              </w:rPr>
              <w:t xml:space="preserve"> the methodology of the modern paradigm of foreign language education, teaching foreign languages, ensuring the originality, newness and reliability of research results.</w:t>
            </w:r>
          </w:p>
          <w:p w:rsidR="00ED2B89" w:rsidRDefault="00ED2B89" w:rsidP="00A37559">
            <w:pPr>
              <w:spacing w:after="0" w:line="240" w:lineRule="auto"/>
              <w:jc w:val="both"/>
              <w:rPr>
                <w:rFonts w:eastAsia="Malgun Gothic"/>
                <w:sz w:val="24"/>
                <w:szCs w:val="24"/>
                <w:lang w:val="en-US"/>
              </w:rPr>
            </w:pPr>
          </w:p>
          <w:p w:rsidR="00ED2B89" w:rsidRDefault="00ED2B89" w:rsidP="00A37559">
            <w:pPr>
              <w:spacing w:after="0" w:line="240" w:lineRule="auto"/>
              <w:jc w:val="both"/>
              <w:rPr>
                <w:rFonts w:eastAsia="Malgun Gothic"/>
                <w:sz w:val="24"/>
                <w:szCs w:val="24"/>
                <w:lang w:val="en-US"/>
              </w:rPr>
            </w:pPr>
            <w:r>
              <w:rPr>
                <w:rFonts w:eastAsia="Malgun Gothic"/>
                <w:sz w:val="24"/>
                <w:szCs w:val="24"/>
                <w:lang w:val="en-US"/>
              </w:rPr>
              <w:t xml:space="preserve">ON2 Develop practical aspects of teaching foreign languages ​​based on a critical analysis of approaches in foreign language </w:t>
            </w:r>
            <w:proofErr w:type="gramStart"/>
            <w:r>
              <w:rPr>
                <w:rFonts w:eastAsia="Malgun Gothic"/>
                <w:sz w:val="24"/>
                <w:szCs w:val="24"/>
                <w:lang w:val="en-US"/>
              </w:rPr>
              <w:t>education,</w:t>
            </w:r>
            <w:proofErr w:type="gramEnd"/>
            <w:r>
              <w:rPr>
                <w:rFonts w:eastAsia="Malgun Gothic"/>
                <w:sz w:val="24"/>
                <w:szCs w:val="24"/>
                <w:lang w:val="kk-KZ"/>
              </w:rPr>
              <w:t xml:space="preserve"> </w:t>
            </w:r>
            <w:r>
              <w:rPr>
                <w:rFonts w:eastAsia="Malgun Gothic"/>
                <w:sz w:val="24"/>
                <w:szCs w:val="24"/>
                <w:lang w:val="en-US"/>
              </w:rPr>
              <w:t>generate new knowledge by conducting an original scientific research, the results of which are presented in publications on the national / international levels to contribute to the expansion of the scientific field.</w:t>
            </w:r>
          </w:p>
          <w:p w:rsidR="00ED2B89" w:rsidRDefault="00ED2B89" w:rsidP="00A37559">
            <w:pPr>
              <w:spacing w:after="0" w:line="240" w:lineRule="auto"/>
              <w:jc w:val="both"/>
              <w:rPr>
                <w:rFonts w:eastAsia="Malgun Gothic"/>
                <w:sz w:val="24"/>
                <w:szCs w:val="24"/>
                <w:lang w:val="en-US"/>
              </w:rPr>
            </w:pPr>
          </w:p>
          <w:p w:rsidR="00ED2B89" w:rsidRDefault="00ED2B89" w:rsidP="00A37559">
            <w:pPr>
              <w:spacing w:after="0" w:line="240" w:lineRule="auto"/>
              <w:jc w:val="both"/>
              <w:rPr>
                <w:rFonts w:eastAsia="Malgun Gothic"/>
                <w:sz w:val="24"/>
                <w:szCs w:val="24"/>
                <w:lang w:val="en-US"/>
              </w:rPr>
            </w:pPr>
            <w:r>
              <w:rPr>
                <w:rFonts w:eastAsia="Malgun Gothic"/>
                <w:sz w:val="24"/>
                <w:szCs w:val="24"/>
                <w:lang w:val="en-US"/>
              </w:rPr>
              <w:t>ON3 Conduct lectures and practical classes in theoretical and specialized disciplines taking into account modern areas of foreign language education using digital technologies and innovative, interactive, student-centered teaching methods in order to develop students' creativity, critical thinking and cognitive activity.</w:t>
            </w:r>
          </w:p>
          <w:p w:rsidR="00ED2B89" w:rsidRDefault="00ED2B89" w:rsidP="00A37559">
            <w:pPr>
              <w:spacing w:after="0" w:line="240" w:lineRule="auto"/>
              <w:jc w:val="both"/>
              <w:rPr>
                <w:rFonts w:eastAsia="Malgun Gothic"/>
                <w:sz w:val="24"/>
                <w:szCs w:val="24"/>
                <w:lang w:val="kk-KZ"/>
              </w:rPr>
            </w:pPr>
          </w:p>
          <w:p w:rsidR="00ED2B89" w:rsidRDefault="00ED2B89" w:rsidP="00A37559">
            <w:pPr>
              <w:spacing w:after="0" w:line="240" w:lineRule="auto"/>
              <w:jc w:val="both"/>
              <w:rPr>
                <w:rFonts w:eastAsia="Malgun Gothic"/>
                <w:sz w:val="24"/>
                <w:szCs w:val="24"/>
                <w:lang w:val="en-US"/>
              </w:rPr>
            </w:pPr>
            <w:r>
              <w:rPr>
                <w:rFonts w:eastAsia="Malgun Gothic"/>
                <w:sz w:val="24"/>
                <w:szCs w:val="24"/>
                <w:lang w:val="en-US"/>
              </w:rPr>
              <w:t>ON4 Develop curricula, author courses, textbooks, teaching aids, methodological recommendations for practical exercises and independent work on foreign language training, developing various assessment tools.</w:t>
            </w:r>
          </w:p>
          <w:p w:rsidR="00ED2B89" w:rsidRDefault="00ED2B89" w:rsidP="00A37559">
            <w:pPr>
              <w:spacing w:after="0" w:line="240" w:lineRule="auto"/>
              <w:jc w:val="both"/>
              <w:rPr>
                <w:rFonts w:eastAsia="Malgun Gothic"/>
                <w:sz w:val="24"/>
                <w:szCs w:val="24"/>
                <w:lang w:val="en-US"/>
              </w:rPr>
            </w:pPr>
          </w:p>
          <w:p w:rsidR="00ED2B89" w:rsidRDefault="00ED2B89" w:rsidP="00A37559">
            <w:pPr>
              <w:spacing w:after="0" w:line="240" w:lineRule="auto"/>
              <w:jc w:val="both"/>
              <w:rPr>
                <w:rFonts w:eastAsia="Malgun Gothic"/>
                <w:sz w:val="24"/>
                <w:szCs w:val="24"/>
                <w:lang w:val="en-US"/>
              </w:rPr>
            </w:pPr>
            <w:r>
              <w:rPr>
                <w:rFonts w:eastAsia="Malgun Gothic"/>
                <w:sz w:val="24"/>
                <w:szCs w:val="24"/>
                <w:lang w:val="en-US"/>
              </w:rPr>
              <w:t xml:space="preserve">ON5 Conduct methodological, didactic and linguistic experiments in the methods of teaching foreign </w:t>
            </w:r>
            <w:proofErr w:type="gramStart"/>
            <w:r>
              <w:rPr>
                <w:rFonts w:eastAsia="Malgun Gothic"/>
                <w:sz w:val="24"/>
                <w:szCs w:val="24"/>
                <w:lang w:val="en-US"/>
              </w:rPr>
              <w:t>languages,</w:t>
            </w:r>
            <w:proofErr w:type="gramEnd"/>
            <w:r>
              <w:rPr>
                <w:rFonts w:eastAsia="Malgun Gothic"/>
                <w:sz w:val="24"/>
                <w:szCs w:val="24"/>
                <w:lang w:val="en-US"/>
              </w:rPr>
              <w:t xml:space="preserve"> analyze and interpret the results of experiments to improve the teaching of foreign languages, articulate and articulate the theoretical positions of the study and give appropriate recommendations for the development of foreign language education in modern society.</w:t>
            </w:r>
          </w:p>
          <w:p w:rsidR="00ED2B89" w:rsidRDefault="00ED2B89" w:rsidP="00A37559">
            <w:pPr>
              <w:spacing w:after="0" w:line="240" w:lineRule="auto"/>
              <w:jc w:val="both"/>
              <w:rPr>
                <w:rFonts w:eastAsia="Malgun Gothic"/>
                <w:sz w:val="24"/>
                <w:szCs w:val="24"/>
                <w:lang w:val="kk-KZ"/>
              </w:rPr>
            </w:pPr>
          </w:p>
          <w:p w:rsidR="00ED2B89" w:rsidRDefault="00ED2B89" w:rsidP="00A37559">
            <w:pPr>
              <w:spacing w:after="0" w:line="240" w:lineRule="auto"/>
              <w:jc w:val="both"/>
              <w:rPr>
                <w:rFonts w:eastAsia="Malgun Gothic"/>
                <w:sz w:val="24"/>
                <w:szCs w:val="24"/>
                <w:lang w:val="en-US"/>
              </w:rPr>
            </w:pPr>
            <w:r>
              <w:rPr>
                <w:rFonts w:eastAsia="Malgun Gothic"/>
                <w:sz w:val="24"/>
                <w:szCs w:val="24"/>
                <w:lang w:val="en-US"/>
              </w:rPr>
              <w:lastRenderedPageBreak/>
              <w:t>ON6 Assess the linguistic situation, give scientific conclusions, recommendations for the development of multilingualism, manage projects that contribute to the creation of new knowledge on current areas of multilingual education using integrative approaches and innovative technologies; to organize research, project and educational and professional activities of students on undergraduate and graduate programs.</w:t>
            </w:r>
          </w:p>
          <w:p w:rsidR="00ED2B89" w:rsidRDefault="00ED2B89" w:rsidP="00A37559">
            <w:pPr>
              <w:spacing w:after="0" w:line="240" w:lineRule="auto"/>
              <w:jc w:val="both"/>
              <w:rPr>
                <w:rFonts w:eastAsia="Malgun Gothic"/>
                <w:sz w:val="24"/>
                <w:szCs w:val="24"/>
                <w:lang w:val="en-US"/>
              </w:rPr>
            </w:pPr>
          </w:p>
          <w:p w:rsidR="00ED2B89" w:rsidRDefault="00ED2B89" w:rsidP="00A37559">
            <w:pPr>
              <w:spacing w:after="0" w:line="240" w:lineRule="auto"/>
              <w:jc w:val="both"/>
              <w:rPr>
                <w:rFonts w:eastAsia="Malgun Gothic"/>
                <w:sz w:val="24"/>
                <w:szCs w:val="24"/>
                <w:lang w:val="en-US"/>
              </w:rPr>
            </w:pPr>
            <w:r>
              <w:rPr>
                <w:rFonts w:eastAsia="Malgun Gothic"/>
                <w:sz w:val="24"/>
                <w:szCs w:val="24"/>
                <w:lang w:val="en-US"/>
              </w:rPr>
              <w:t xml:space="preserve">ON7 Identify communicative </w:t>
            </w:r>
            <w:proofErr w:type="gramStart"/>
            <w:r>
              <w:rPr>
                <w:rFonts w:eastAsia="Malgun Gothic"/>
                <w:sz w:val="24"/>
                <w:szCs w:val="24"/>
                <w:lang w:val="en-US"/>
              </w:rPr>
              <w:t>barriers,</w:t>
            </w:r>
            <w:proofErr w:type="gramEnd"/>
            <w:r>
              <w:rPr>
                <w:rFonts w:eastAsia="Malgun Gothic"/>
                <w:sz w:val="24"/>
                <w:szCs w:val="24"/>
                <w:lang w:val="en-US"/>
              </w:rPr>
              <w:t xml:space="preserve"> differentiate between adequate and inadequate, verbal and non-verbal components of intercultural communication and solve problems that impede effective communication based on the knowledge of the socio-psychological basis of foreign language education.</w:t>
            </w:r>
          </w:p>
          <w:p w:rsidR="00ED2B89" w:rsidRDefault="00ED2B89" w:rsidP="00A37559">
            <w:pPr>
              <w:spacing w:after="0" w:line="240" w:lineRule="auto"/>
              <w:jc w:val="both"/>
              <w:rPr>
                <w:rFonts w:eastAsia="Malgun Gothic"/>
                <w:sz w:val="24"/>
                <w:szCs w:val="24"/>
                <w:lang w:val="kk-KZ"/>
              </w:rPr>
            </w:pPr>
          </w:p>
          <w:p w:rsidR="00ED2B89" w:rsidRDefault="00ED2B89" w:rsidP="00A37559">
            <w:pPr>
              <w:spacing w:after="0" w:line="240" w:lineRule="auto"/>
              <w:jc w:val="both"/>
              <w:rPr>
                <w:rFonts w:eastAsia="Malgun Gothic"/>
                <w:sz w:val="24"/>
                <w:szCs w:val="24"/>
                <w:lang w:val="en-US"/>
              </w:rPr>
            </w:pPr>
            <w:r>
              <w:rPr>
                <w:rFonts w:eastAsia="Malgun Gothic"/>
                <w:lang w:val="en-US"/>
              </w:rPr>
              <w:t xml:space="preserve">ON8 </w:t>
            </w:r>
            <w:r>
              <w:rPr>
                <w:rFonts w:eastAsia="Malgun Gothic"/>
                <w:sz w:val="24"/>
                <w:szCs w:val="24"/>
                <w:lang w:val="en-US"/>
              </w:rPr>
              <w:t>Create linguistic software for learning foreign languages ​​in the field of inclusive education using the methods of inclusive education and information technology, develop programs for youth policy and a unified state policy in the field of education and development of the educational process based on monitoring of subordinate educational institutions.</w:t>
            </w:r>
          </w:p>
          <w:p w:rsidR="00ED2B89" w:rsidRDefault="00ED2B89" w:rsidP="00A37559">
            <w:pPr>
              <w:spacing w:after="0" w:line="240" w:lineRule="auto"/>
              <w:jc w:val="both"/>
              <w:rPr>
                <w:rFonts w:eastAsia="Malgun Gothic"/>
                <w:sz w:val="24"/>
                <w:szCs w:val="24"/>
                <w:lang w:val="en-US"/>
              </w:rPr>
            </w:pPr>
          </w:p>
          <w:p w:rsidR="00ED2B89" w:rsidRDefault="00ED2B89" w:rsidP="00A37559">
            <w:pPr>
              <w:autoSpaceDE w:val="0"/>
              <w:autoSpaceDN w:val="0"/>
              <w:adjustRightInd w:val="0"/>
              <w:spacing w:after="0" w:line="240" w:lineRule="auto"/>
              <w:jc w:val="both"/>
              <w:rPr>
                <w:rFonts w:eastAsia="Malgun Gothic"/>
                <w:sz w:val="24"/>
                <w:szCs w:val="24"/>
                <w:lang w:val="en-US"/>
              </w:rPr>
            </w:pPr>
            <w:proofErr w:type="gramStart"/>
            <w:r>
              <w:rPr>
                <w:rFonts w:eastAsia="Malgun Gothic"/>
                <w:lang w:val="en-US"/>
              </w:rPr>
              <w:t xml:space="preserve">ON9 </w:t>
            </w:r>
            <w:r>
              <w:rPr>
                <w:rFonts w:eastAsia="Malgun Gothic"/>
                <w:sz w:val="24"/>
                <w:szCs w:val="24"/>
                <w:lang w:val="en-US"/>
              </w:rPr>
              <w:t>Conduct expertise on the validity of traditional and innovative methods used in scientific and applied research on foreign language education, apply various methods of analyzing foreign languages ​​in practical work in various spheres of society; create an expert assessment of the logic of the expression of a foreign language text, evaluate and determine the significance of a product of its and other scientific activities.</w:t>
            </w:r>
            <w:proofErr w:type="gramEnd"/>
          </w:p>
          <w:p w:rsidR="00ED2B89" w:rsidRDefault="00ED2B89" w:rsidP="00A37559">
            <w:pPr>
              <w:autoSpaceDE w:val="0"/>
              <w:autoSpaceDN w:val="0"/>
              <w:adjustRightInd w:val="0"/>
              <w:spacing w:after="0" w:line="240" w:lineRule="auto"/>
              <w:jc w:val="both"/>
              <w:rPr>
                <w:rFonts w:eastAsia="Malgun Gothic"/>
                <w:sz w:val="24"/>
                <w:szCs w:val="24"/>
                <w:lang w:val="kk-KZ"/>
              </w:rPr>
            </w:pPr>
          </w:p>
          <w:p w:rsidR="00ED2B89" w:rsidRDefault="00ED2B89" w:rsidP="00A37559">
            <w:pPr>
              <w:autoSpaceDE w:val="0"/>
              <w:autoSpaceDN w:val="0"/>
              <w:adjustRightInd w:val="0"/>
              <w:spacing w:after="0" w:line="240" w:lineRule="auto"/>
              <w:jc w:val="both"/>
              <w:rPr>
                <w:rFonts w:eastAsia="Malgun Gothic"/>
                <w:color w:val="000000"/>
                <w:sz w:val="24"/>
                <w:szCs w:val="24"/>
                <w:lang w:val="en-US"/>
              </w:rPr>
            </w:pPr>
            <w:proofErr w:type="gramStart"/>
            <w:r>
              <w:rPr>
                <w:rFonts w:eastAsia="Malgun Gothic"/>
                <w:color w:val="000000"/>
                <w:sz w:val="24"/>
                <w:szCs w:val="24"/>
                <w:lang w:val="en-US"/>
              </w:rPr>
              <w:t>ON10 Organize management and managerial work, inspect the results of educational institutions, coordinate education management, make proposals to higher education authorities on foreign language education, to develop educational activities, government and non-government institutions, taking into account different opinions based on knowledge of foreign language education be able to get out of conflict situations; review various documentation genres, solve scientific and educational problems in the work of Kazakhstan and international research teams.</w:t>
            </w:r>
            <w:proofErr w:type="gramEnd"/>
          </w:p>
          <w:p w:rsidR="00ED2B89" w:rsidRDefault="00ED2B89" w:rsidP="00A37559">
            <w:pPr>
              <w:autoSpaceDE w:val="0"/>
              <w:autoSpaceDN w:val="0"/>
              <w:adjustRightInd w:val="0"/>
              <w:spacing w:after="0" w:line="240" w:lineRule="auto"/>
              <w:jc w:val="both"/>
              <w:rPr>
                <w:rFonts w:eastAsia="Malgun Gothic"/>
                <w:color w:val="000000"/>
                <w:sz w:val="24"/>
                <w:szCs w:val="24"/>
                <w:lang w:val="en-US"/>
              </w:rPr>
            </w:pPr>
          </w:p>
          <w:p w:rsidR="00ED2B89" w:rsidRDefault="00ED2B89" w:rsidP="00A37559">
            <w:pPr>
              <w:spacing w:after="0" w:line="240" w:lineRule="auto"/>
              <w:jc w:val="both"/>
              <w:rPr>
                <w:rFonts w:eastAsia="Malgun Gothic"/>
                <w:color w:val="000000"/>
                <w:sz w:val="24"/>
                <w:szCs w:val="24"/>
                <w:lang w:val="en-US"/>
              </w:rPr>
            </w:pPr>
            <w:r>
              <w:rPr>
                <w:rFonts w:eastAsia="Malgun Gothic"/>
                <w:color w:val="000000"/>
                <w:sz w:val="24"/>
                <w:szCs w:val="24"/>
                <w:lang w:val="en-US"/>
              </w:rPr>
              <w:t>ON11 Design and create multilingual lexicographic and educational products for various segments of the population, develop the linguistic component of mobile applications for teaching foreign languages ​​using digital technologies.</w:t>
            </w:r>
          </w:p>
          <w:p w:rsidR="00ED2B89" w:rsidRDefault="00ED2B89" w:rsidP="00A37559">
            <w:pPr>
              <w:spacing w:after="0" w:line="240" w:lineRule="auto"/>
              <w:jc w:val="both"/>
              <w:rPr>
                <w:rFonts w:eastAsia="Malgun Gothic"/>
                <w:color w:val="000000"/>
                <w:sz w:val="24"/>
                <w:szCs w:val="24"/>
                <w:lang w:val="kk-KZ"/>
              </w:rPr>
            </w:pPr>
          </w:p>
          <w:p w:rsidR="00ED2B89" w:rsidRPr="00ED2B89" w:rsidRDefault="00ED2B89" w:rsidP="00A37559">
            <w:pPr>
              <w:spacing w:after="0" w:line="240" w:lineRule="auto"/>
              <w:jc w:val="both"/>
              <w:rPr>
                <w:sz w:val="24"/>
                <w:szCs w:val="24"/>
                <w:lang w:val="en-US"/>
              </w:rPr>
            </w:pPr>
            <w:proofErr w:type="gramStart"/>
            <w:r>
              <w:rPr>
                <w:rFonts w:eastAsia="Malgun Gothic"/>
                <w:sz w:val="24"/>
                <w:szCs w:val="24"/>
                <w:lang w:val="en-US"/>
              </w:rPr>
              <w:t>ON12  Present the results of educational and research activities in scientific publications of various genres, doctoral dissertations, research and scientific projects, etc. as specialists, so in the audience that does not have the appropriate training; to reflect and form new competencies in foreign language education, to determine the directions of further personal and professional development; to be ready for correct and tolerant interaction in society, for social interaction and cooperation for solving problems of science.</w:t>
            </w:r>
            <w:proofErr w:type="gramEnd"/>
          </w:p>
        </w:tc>
      </w:tr>
      <w:tr w:rsidR="00ED2B89" w:rsidRPr="00ED2B89" w:rsidTr="00A37559">
        <w:tc>
          <w:tcPr>
            <w:tcW w:w="2252" w:type="dxa"/>
          </w:tcPr>
          <w:p w:rsidR="00ED2B89" w:rsidRDefault="00ED2B89" w:rsidP="00A37559">
            <w:pPr>
              <w:spacing w:after="0" w:line="240" w:lineRule="auto"/>
              <w:rPr>
                <w:sz w:val="24"/>
                <w:szCs w:val="24"/>
                <w:lang w:val="kk-KZ"/>
              </w:rPr>
            </w:pPr>
            <w:r>
              <w:rPr>
                <w:sz w:val="24"/>
                <w:szCs w:val="24"/>
                <w:lang w:val="kk-KZ"/>
              </w:rPr>
              <w:lastRenderedPageBreak/>
              <w:t>For applicants</w:t>
            </w:r>
          </w:p>
        </w:tc>
        <w:tc>
          <w:tcPr>
            <w:tcW w:w="7514" w:type="dxa"/>
          </w:tcPr>
          <w:p w:rsidR="00ED2B89" w:rsidRPr="00ED2B89" w:rsidRDefault="00ED2B89" w:rsidP="00A37559">
            <w:pPr>
              <w:spacing w:after="0" w:line="240" w:lineRule="auto"/>
              <w:rPr>
                <w:lang w:val="kk-KZ"/>
              </w:rPr>
            </w:pPr>
            <w:hyperlink r:id="rId5" w:history="1">
              <w:r w:rsidRPr="00ED2B89">
                <w:rPr>
                  <w:rStyle w:val="a3"/>
                  <w:lang w:val="kk-KZ"/>
                </w:rPr>
                <w:t>https://welcome.kaznu.kz/ru/education_programs/bachelor/speciality/1943</w:t>
              </w:r>
            </w:hyperlink>
          </w:p>
          <w:p w:rsidR="00ED2B89" w:rsidRDefault="00ED2B89" w:rsidP="00A37559">
            <w:pPr>
              <w:spacing w:after="0" w:line="240" w:lineRule="auto"/>
              <w:rPr>
                <w:sz w:val="24"/>
                <w:szCs w:val="24"/>
                <w:lang w:val="kk-KZ"/>
              </w:rPr>
            </w:pPr>
            <w:r>
              <w:rPr>
                <w:sz w:val="24"/>
                <w:szCs w:val="24"/>
                <w:lang w:val="kk-KZ"/>
              </w:rPr>
              <w:t xml:space="preserve"> </w:t>
            </w:r>
          </w:p>
        </w:tc>
      </w:tr>
      <w:tr w:rsidR="00ED2B89" w:rsidRPr="00ED2B89" w:rsidTr="00A37559">
        <w:tc>
          <w:tcPr>
            <w:tcW w:w="2252" w:type="dxa"/>
          </w:tcPr>
          <w:p w:rsidR="00ED2B89" w:rsidRDefault="00ED2B89" w:rsidP="00A37559">
            <w:pPr>
              <w:spacing w:after="0" w:line="240" w:lineRule="auto"/>
              <w:rPr>
                <w:sz w:val="24"/>
                <w:szCs w:val="24"/>
                <w:lang w:val="kk-KZ"/>
              </w:rPr>
            </w:pPr>
            <w:r>
              <w:rPr>
                <w:rFonts w:eastAsia="Times New Roman"/>
                <w:sz w:val="24"/>
                <w:szCs w:val="24"/>
                <w:lang w:val="kk-KZ" w:eastAsia="zh-CN"/>
              </w:rPr>
              <w:t>Academic activities</w:t>
            </w:r>
          </w:p>
        </w:tc>
        <w:tc>
          <w:tcPr>
            <w:tcW w:w="7514" w:type="dxa"/>
          </w:tcPr>
          <w:p w:rsidR="00ED2B89" w:rsidRPr="00ED2B89" w:rsidRDefault="00ED2B89" w:rsidP="00A37559">
            <w:pPr>
              <w:spacing w:after="0" w:line="240" w:lineRule="auto"/>
              <w:jc w:val="both"/>
              <w:rPr>
                <w:rFonts w:eastAsia="Times New Roman"/>
                <w:sz w:val="24"/>
                <w:szCs w:val="24"/>
                <w:lang w:val="en-US" w:eastAsia="zh-CN"/>
              </w:rPr>
            </w:pPr>
            <w:r w:rsidRPr="00ED2B89">
              <w:rPr>
                <w:rFonts w:eastAsia="Times New Roman"/>
                <w:sz w:val="24"/>
                <w:szCs w:val="24"/>
                <w:lang w:val="en-US" w:eastAsia="zh-CN"/>
              </w:rPr>
              <w:t xml:space="preserve">The academic activities of the </w:t>
            </w:r>
            <w:r>
              <w:rPr>
                <w:rFonts w:eastAsia="Times New Roman"/>
                <w:sz w:val="24"/>
                <w:szCs w:val="24"/>
                <w:lang w:val="en-US" w:eastAsia="zh-CN"/>
              </w:rPr>
              <w:t>EP</w:t>
            </w:r>
            <w:r w:rsidRPr="00ED2B89">
              <w:rPr>
                <w:rFonts w:eastAsia="Times New Roman"/>
                <w:sz w:val="24"/>
                <w:szCs w:val="24"/>
                <w:lang w:val="en-US" w:eastAsia="zh-CN"/>
              </w:rPr>
              <w:t xml:space="preserve"> are carried out:</w:t>
            </w:r>
          </w:p>
          <w:p w:rsidR="00ED2B89" w:rsidRPr="00ED2B89" w:rsidRDefault="00ED2B89" w:rsidP="00A37559">
            <w:pPr>
              <w:spacing w:after="0" w:line="240" w:lineRule="auto"/>
              <w:jc w:val="both"/>
              <w:rPr>
                <w:rFonts w:eastAsia="Times New Roman"/>
                <w:sz w:val="24"/>
                <w:szCs w:val="24"/>
                <w:lang w:val="en-US" w:eastAsia="zh-CN"/>
              </w:rPr>
            </w:pPr>
            <w:r w:rsidRPr="00ED2B89">
              <w:rPr>
                <w:rFonts w:eastAsia="Times New Roman"/>
                <w:sz w:val="24"/>
                <w:szCs w:val="24"/>
                <w:lang w:val="en-US" w:eastAsia="zh-CN"/>
              </w:rPr>
              <w:lastRenderedPageBreak/>
              <w:t>- within the framework of existing regulatory documents and guidelines in the field of higher education in the field of pedagogical sciences,</w:t>
            </w:r>
          </w:p>
          <w:p w:rsidR="00ED2B89" w:rsidRPr="00ED2B89" w:rsidRDefault="00ED2B89" w:rsidP="00A37559">
            <w:pPr>
              <w:spacing w:after="0" w:line="240" w:lineRule="auto"/>
              <w:jc w:val="both"/>
              <w:rPr>
                <w:rFonts w:eastAsia="Times New Roman"/>
                <w:sz w:val="24"/>
                <w:szCs w:val="24"/>
                <w:lang w:val="en-US" w:eastAsia="zh-CN"/>
              </w:rPr>
            </w:pPr>
            <w:r w:rsidRPr="00ED2B89">
              <w:rPr>
                <w:rFonts w:eastAsia="Times New Roman"/>
                <w:sz w:val="24"/>
                <w:szCs w:val="24"/>
                <w:lang w:val="en-US" w:eastAsia="zh-CN"/>
              </w:rPr>
              <w:t>- educational, methodological and research training of a multilingual specialist in foreign languages for scientific and pedagogical activities in the system of higher, postgraduate education, the research sector, possessing competencies in specialized areas of foreign language education and information technologies as a result of the implementation of regulations governing the educational and methodological process at the university;</w:t>
            </w:r>
          </w:p>
          <w:p w:rsidR="00ED2B89" w:rsidRPr="00ED2B89" w:rsidRDefault="00ED2B89" w:rsidP="00A37559">
            <w:pPr>
              <w:spacing w:after="0" w:line="240" w:lineRule="auto"/>
              <w:jc w:val="both"/>
              <w:rPr>
                <w:rFonts w:eastAsia="Times New Roman"/>
                <w:sz w:val="24"/>
                <w:szCs w:val="24"/>
                <w:lang w:val="en-US" w:eastAsia="zh-CN"/>
              </w:rPr>
            </w:pPr>
            <w:r w:rsidRPr="00ED2B89">
              <w:rPr>
                <w:rFonts w:eastAsia="Times New Roman"/>
                <w:sz w:val="24"/>
                <w:szCs w:val="24"/>
                <w:lang w:val="en-US" w:eastAsia="zh-CN"/>
              </w:rPr>
              <w:t>- monitoring the provision of the educational process with educational and methodological materials, documenting the results;</w:t>
            </w:r>
          </w:p>
          <w:p w:rsidR="00ED2B89" w:rsidRPr="00ED2B89" w:rsidRDefault="00ED2B89" w:rsidP="00A37559">
            <w:pPr>
              <w:spacing w:after="0" w:line="240" w:lineRule="auto"/>
              <w:jc w:val="both"/>
              <w:rPr>
                <w:rFonts w:eastAsia="Times New Roman"/>
                <w:sz w:val="24"/>
                <w:szCs w:val="24"/>
                <w:lang w:val="en-US" w:eastAsia="zh-CN"/>
              </w:rPr>
            </w:pPr>
            <w:r w:rsidRPr="00ED2B89">
              <w:rPr>
                <w:rFonts w:eastAsia="Times New Roman"/>
                <w:sz w:val="24"/>
                <w:szCs w:val="24"/>
                <w:lang w:val="en-US" w:eastAsia="zh-CN"/>
              </w:rPr>
              <w:t xml:space="preserve">- </w:t>
            </w:r>
            <w:proofErr w:type="gramStart"/>
            <w:r w:rsidRPr="00ED2B89">
              <w:rPr>
                <w:rFonts w:eastAsia="Times New Roman"/>
                <w:sz w:val="24"/>
                <w:szCs w:val="24"/>
                <w:lang w:val="en-US" w:eastAsia="zh-CN"/>
              </w:rPr>
              <w:t>development</w:t>
            </w:r>
            <w:proofErr w:type="gramEnd"/>
            <w:r w:rsidRPr="00ED2B89">
              <w:rPr>
                <w:rFonts w:eastAsia="Times New Roman"/>
                <w:sz w:val="24"/>
                <w:szCs w:val="24"/>
                <w:lang w:val="en-US" w:eastAsia="zh-CN"/>
              </w:rPr>
              <w:t xml:space="preserve"> of teaching materials; development and implementation of a working curriculum.</w:t>
            </w:r>
          </w:p>
        </w:tc>
      </w:tr>
      <w:tr w:rsidR="00ED2B89" w:rsidTr="00A37559">
        <w:tc>
          <w:tcPr>
            <w:tcW w:w="2252" w:type="dxa"/>
          </w:tcPr>
          <w:p w:rsidR="00ED2B89" w:rsidRDefault="00ED2B89" w:rsidP="00A37559">
            <w:pPr>
              <w:spacing w:after="0" w:line="240" w:lineRule="auto"/>
              <w:rPr>
                <w:sz w:val="24"/>
                <w:szCs w:val="24"/>
                <w:lang w:val="kk-KZ"/>
              </w:rPr>
            </w:pPr>
            <w:r>
              <w:rPr>
                <w:rFonts w:eastAsia="Times New Roman"/>
                <w:sz w:val="24"/>
                <w:szCs w:val="24"/>
                <w:lang w:val="en-US" w:eastAsia="zh-CN"/>
              </w:rPr>
              <w:lastRenderedPageBreak/>
              <w:t>Scientific</w:t>
            </w:r>
            <w:r>
              <w:rPr>
                <w:rFonts w:eastAsia="Times New Roman"/>
                <w:sz w:val="24"/>
                <w:szCs w:val="24"/>
                <w:lang w:val="zh-CN" w:eastAsia="zh-CN"/>
              </w:rPr>
              <w:t xml:space="preserve"> activities</w:t>
            </w:r>
          </w:p>
        </w:tc>
        <w:tc>
          <w:tcPr>
            <w:tcW w:w="7514" w:type="dxa"/>
          </w:tcPr>
          <w:p w:rsidR="00ED2B89" w:rsidRDefault="00ED2B89" w:rsidP="00A37559">
            <w:pPr>
              <w:spacing w:after="0" w:line="240" w:lineRule="auto"/>
              <w:jc w:val="both"/>
              <w:rPr>
                <w:rFonts w:eastAsia="Malgun Gothic"/>
                <w:sz w:val="24"/>
                <w:szCs w:val="24"/>
                <w:lang w:val="en-US"/>
              </w:rPr>
            </w:pPr>
            <w:r>
              <w:rPr>
                <w:rFonts w:eastAsia="Malgun Gothic"/>
                <w:sz w:val="24"/>
                <w:szCs w:val="24"/>
                <w:lang w:val="en-US"/>
              </w:rPr>
              <w:t>For the implementation of the educational program at the faculty there is all the necessary material and technical base, including laboratories and centers:</w:t>
            </w:r>
            <w:r>
              <w:rPr>
                <w:rFonts w:eastAsia="Malgun Gothic"/>
                <w:sz w:val="24"/>
                <w:szCs w:val="24"/>
                <w:lang w:val="en-US"/>
              </w:rPr>
              <w:br/>
              <w:t>British Center: Language and Culture</w:t>
            </w:r>
          </w:p>
          <w:p w:rsidR="00ED2B89" w:rsidRDefault="00ED2B89" w:rsidP="00A37559">
            <w:pPr>
              <w:spacing w:after="0" w:line="240" w:lineRule="auto"/>
              <w:jc w:val="both"/>
              <w:rPr>
                <w:rFonts w:eastAsia="Malgun Gothic"/>
                <w:sz w:val="24"/>
                <w:szCs w:val="24"/>
                <w:lang w:val="en-US"/>
              </w:rPr>
            </w:pPr>
            <w:r>
              <w:rPr>
                <w:rFonts w:eastAsia="Malgun Gothic"/>
                <w:sz w:val="24"/>
                <w:szCs w:val="24"/>
                <w:lang w:val="en-US"/>
              </w:rPr>
              <w:t xml:space="preserve">Francophone Resource Center named after Guy de Maupassant </w:t>
            </w:r>
          </w:p>
          <w:p w:rsidR="00ED2B89" w:rsidRDefault="00ED2B89" w:rsidP="00A37559">
            <w:pPr>
              <w:spacing w:after="0" w:line="240" w:lineRule="auto"/>
              <w:jc w:val="both"/>
              <w:rPr>
                <w:rFonts w:eastAsia="Malgun Gothic"/>
                <w:sz w:val="24"/>
                <w:szCs w:val="24"/>
                <w:lang w:val="en-US"/>
              </w:rPr>
            </w:pPr>
            <w:r>
              <w:rPr>
                <w:rFonts w:eastAsia="Malgun Gothic"/>
                <w:sz w:val="24"/>
                <w:szCs w:val="24"/>
                <w:lang w:val="en-US"/>
              </w:rPr>
              <w:t>Center for Academic Success</w:t>
            </w:r>
          </w:p>
          <w:p w:rsidR="00ED2B89" w:rsidRDefault="00ED2B89" w:rsidP="00A37559">
            <w:pPr>
              <w:spacing w:after="0" w:line="240" w:lineRule="auto"/>
              <w:jc w:val="both"/>
              <w:rPr>
                <w:rFonts w:eastAsia="Malgun Gothic"/>
                <w:sz w:val="24"/>
                <w:szCs w:val="24"/>
                <w:lang w:val="en-US"/>
              </w:rPr>
            </w:pPr>
            <w:r>
              <w:rPr>
                <w:rFonts w:eastAsia="Malgun Gothic"/>
                <w:sz w:val="24"/>
                <w:szCs w:val="24"/>
                <w:lang w:val="en-US"/>
              </w:rPr>
              <w:t>“</w:t>
            </w:r>
            <w:proofErr w:type="spellStart"/>
            <w:r>
              <w:rPr>
                <w:rFonts w:eastAsia="Malgun Gothic"/>
                <w:sz w:val="24"/>
                <w:szCs w:val="24"/>
                <w:lang w:val="en-US"/>
              </w:rPr>
              <w:t>Lingvoarna</w:t>
            </w:r>
            <w:proofErr w:type="spellEnd"/>
            <w:r>
              <w:rPr>
                <w:rFonts w:eastAsia="Malgun Gothic"/>
                <w:sz w:val="24"/>
                <w:szCs w:val="24"/>
                <w:lang w:val="en-US"/>
              </w:rPr>
              <w:t xml:space="preserve">” Research and Educational and Translation Center </w:t>
            </w:r>
          </w:p>
          <w:p w:rsidR="00ED2B89" w:rsidRDefault="00ED2B89" w:rsidP="00A37559">
            <w:pPr>
              <w:spacing w:after="0" w:line="240" w:lineRule="auto"/>
              <w:jc w:val="both"/>
              <w:rPr>
                <w:sz w:val="24"/>
                <w:szCs w:val="24"/>
                <w:lang w:val="en-US" w:eastAsia="zh-CN"/>
              </w:rPr>
            </w:pPr>
            <w:r>
              <w:rPr>
                <w:rFonts w:eastAsia="Malgun Gothic"/>
                <w:sz w:val="24"/>
                <w:szCs w:val="24"/>
                <w:lang w:val="en-US"/>
              </w:rPr>
              <w:t>Center for Continuing Education.</w:t>
            </w:r>
          </w:p>
        </w:tc>
      </w:tr>
      <w:tr w:rsidR="00ED2B89" w:rsidRPr="00ED2B89" w:rsidTr="00A37559">
        <w:tc>
          <w:tcPr>
            <w:tcW w:w="2252" w:type="dxa"/>
          </w:tcPr>
          <w:p w:rsidR="00ED2B89" w:rsidRDefault="00ED2B89" w:rsidP="00A37559">
            <w:pPr>
              <w:spacing w:after="0" w:line="240" w:lineRule="auto"/>
              <w:rPr>
                <w:sz w:val="24"/>
                <w:szCs w:val="24"/>
                <w:lang w:val="kk-KZ"/>
              </w:rPr>
            </w:pPr>
            <w:r>
              <w:rPr>
                <w:rFonts w:eastAsia="Times New Roman"/>
                <w:sz w:val="24"/>
                <w:szCs w:val="24"/>
                <w:lang w:val="en-US" w:eastAsia="zh-CN"/>
              </w:rPr>
              <w:t>International</w:t>
            </w:r>
            <w:r>
              <w:rPr>
                <w:rFonts w:eastAsia="Times New Roman"/>
                <w:sz w:val="24"/>
                <w:szCs w:val="24"/>
                <w:lang w:val="kk-KZ" w:eastAsia="zh-CN"/>
              </w:rPr>
              <w:t xml:space="preserve"> activities</w:t>
            </w:r>
          </w:p>
        </w:tc>
        <w:tc>
          <w:tcPr>
            <w:tcW w:w="7514" w:type="dxa"/>
          </w:tcPr>
          <w:p w:rsidR="00ED2B89" w:rsidRPr="00ED2B89" w:rsidRDefault="00ED2B89" w:rsidP="00A37559">
            <w:pPr>
              <w:spacing w:after="0" w:line="240" w:lineRule="auto"/>
              <w:jc w:val="both"/>
              <w:rPr>
                <w:sz w:val="24"/>
                <w:szCs w:val="24"/>
                <w:lang w:val="en-US"/>
              </w:rPr>
            </w:pPr>
            <w:r w:rsidRPr="00ED2B89">
              <w:rPr>
                <w:sz w:val="24"/>
                <w:szCs w:val="24"/>
                <w:lang w:val="en-US"/>
              </w:rPr>
              <w:t xml:space="preserve">Doctoral students have the opportunity to study at leading universities in the world as part of the academic mobility program. In particular, there is an agreement with the University of Peking University of Foreign Languages (China), Moscow State Linguistic University (Moscow, RF), Institute of Foreign Languages RUDN (Moscow, RF), </w:t>
            </w:r>
            <w:proofErr w:type="gramStart"/>
            <w:r w:rsidRPr="00ED2B89">
              <w:rPr>
                <w:sz w:val="24"/>
                <w:szCs w:val="24"/>
                <w:lang w:val="en-US"/>
              </w:rPr>
              <w:t>University</w:t>
            </w:r>
            <w:proofErr w:type="gramEnd"/>
            <w:r w:rsidRPr="00ED2B89">
              <w:rPr>
                <w:sz w:val="24"/>
                <w:szCs w:val="24"/>
                <w:lang w:val="en-US"/>
              </w:rPr>
              <w:t xml:space="preserve"> of Nottingham (Great Britain).</w:t>
            </w:r>
          </w:p>
        </w:tc>
      </w:tr>
      <w:tr w:rsidR="00ED2B89" w:rsidTr="00A37559">
        <w:tc>
          <w:tcPr>
            <w:tcW w:w="2252" w:type="dxa"/>
          </w:tcPr>
          <w:p w:rsidR="00ED2B89" w:rsidRDefault="00ED2B89" w:rsidP="00A37559">
            <w:pPr>
              <w:spacing w:after="0" w:line="240" w:lineRule="auto"/>
              <w:rPr>
                <w:rFonts w:eastAsia="Times New Roman"/>
                <w:sz w:val="24"/>
                <w:szCs w:val="24"/>
                <w:lang w:val="zh-CN" w:eastAsia="zh-CN"/>
              </w:rPr>
            </w:pPr>
            <w:r>
              <w:rPr>
                <w:rFonts w:eastAsia="Times New Roman"/>
                <w:sz w:val="24"/>
                <w:szCs w:val="24"/>
                <w:lang w:val="zh-CN" w:eastAsia="zh-CN"/>
              </w:rPr>
              <w:t>Quality assurance (Accreditation, rating, work with employers)</w:t>
            </w:r>
          </w:p>
        </w:tc>
        <w:tc>
          <w:tcPr>
            <w:tcW w:w="7514" w:type="dxa"/>
          </w:tcPr>
          <w:p w:rsidR="00ED2B89" w:rsidRDefault="00ED2B89" w:rsidP="00A37559">
            <w:pPr>
              <w:spacing w:after="0" w:line="240" w:lineRule="auto"/>
              <w:rPr>
                <w:rFonts w:eastAsia="Times New Roman"/>
                <w:sz w:val="24"/>
                <w:szCs w:val="24"/>
                <w:lang w:val="kk-KZ" w:eastAsia="zh-CN"/>
              </w:rPr>
            </w:pPr>
          </w:p>
          <w:p w:rsidR="00ED2B89" w:rsidRDefault="00ED2B89" w:rsidP="00A37559">
            <w:pPr>
              <w:spacing w:after="0" w:line="240" w:lineRule="auto"/>
              <w:rPr>
                <w:rFonts w:eastAsia="Times New Roman"/>
                <w:sz w:val="24"/>
                <w:szCs w:val="24"/>
                <w:lang w:val="kk-KZ" w:eastAsia="zh-CN"/>
              </w:rPr>
            </w:pPr>
            <w:r>
              <w:rPr>
                <w:rFonts w:eastAsia="Times New Roman"/>
                <w:sz w:val="24"/>
                <w:szCs w:val="24"/>
                <w:lang w:val="kk-KZ" w:eastAsia="zh-CN"/>
              </w:rPr>
              <w:t>Employers are:</w:t>
            </w:r>
          </w:p>
          <w:p w:rsidR="00ED2B89" w:rsidRDefault="00ED2B89" w:rsidP="00A37559">
            <w:pPr>
              <w:spacing w:after="0" w:line="240" w:lineRule="auto"/>
              <w:rPr>
                <w:rFonts w:eastAsia="Times New Roman"/>
                <w:sz w:val="24"/>
                <w:szCs w:val="24"/>
                <w:lang w:val="kk-KZ" w:eastAsia="zh-CN"/>
              </w:rPr>
            </w:pPr>
            <w:r>
              <w:rPr>
                <w:rFonts w:eastAsia="Times New Roman"/>
                <w:sz w:val="24"/>
                <w:szCs w:val="24"/>
                <w:lang w:val="kk-KZ" w:eastAsia="zh-CN"/>
              </w:rPr>
              <w:t>1. Kazakh National Women's Pedagogical</w:t>
            </w:r>
            <w:r>
              <w:rPr>
                <w:rFonts w:eastAsia="Times New Roman"/>
                <w:sz w:val="24"/>
                <w:szCs w:val="24"/>
                <w:lang w:val="en-US" w:eastAsia="zh-CN"/>
              </w:rPr>
              <w:t xml:space="preserve"> </w:t>
            </w:r>
            <w:r>
              <w:rPr>
                <w:rFonts w:eastAsia="Times New Roman"/>
                <w:sz w:val="24"/>
                <w:szCs w:val="24"/>
                <w:lang w:val="kk-KZ" w:eastAsia="zh-CN"/>
              </w:rPr>
              <w:t>university</w:t>
            </w:r>
          </w:p>
          <w:p w:rsidR="00ED2B89" w:rsidRDefault="00ED2B89" w:rsidP="00ED2B89">
            <w:pPr>
              <w:numPr>
                <w:ilvl w:val="0"/>
                <w:numId w:val="1"/>
              </w:numPr>
              <w:spacing w:after="0" w:line="240" w:lineRule="auto"/>
              <w:ind w:firstLineChars="100" w:firstLine="240"/>
              <w:rPr>
                <w:rFonts w:eastAsia="Times New Roman"/>
                <w:sz w:val="24"/>
                <w:szCs w:val="24"/>
                <w:lang w:val="kk-KZ" w:eastAsia="zh-CN"/>
              </w:rPr>
            </w:pPr>
            <w:r>
              <w:rPr>
                <w:rFonts w:eastAsia="Times New Roman"/>
                <w:sz w:val="24"/>
                <w:szCs w:val="24"/>
                <w:lang w:val="kk-KZ" w:eastAsia="zh-CN"/>
              </w:rPr>
              <w:t>Kazakh National Pedagogical University</w:t>
            </w:r>
            <w:r>
              <w:rPr>
                <w:rFonts w:eastAsia="Times New Roman"/>
                <w:sz w:val="24"/>
                <w:szCs w:val="24"/>
                <w:lang w:val="en-US" w:eastAsia="zh-CN"/>
              </w:rPr>
              <w:t xml:space="preserve"> </w:t>
            </w:r>
            <w:r>
              <w:rPr>
                <w:rFonts w:eastAsia="Times New Roman"/>
                <w:sz w:val="24"/>
                <w:szCs w:val="24"/>
                <w:lang w:val="kk-KZ" w:eastAsia="zh-CN"/>
              </w:rPr>
              <w:t>named after Abay</w:t>
            </w:r>
          </w:p>
          <w:p w:rsidR="00ED2B89" w:rsidRDefault="00ED2B89" w:rsidP="00ED2B89">
            <w:pPr>
              <w:numPr>
                <w:ilvl w:val="0"/>
                <w:numId w:val="1"/>
              </w:numPr>
              <w:spacing w:after="0" w:line="240" w:lineRule="auto"/>
              <w:ind w:firstLineChars="100" w:firstLine="240"/>
              <w:rPr>
                <w:rFonts w:eastAsia="Times New Roman"/>
                <w:sz w:val="24"/>
                <w:szCs w:val="24"/>
                <w:lang w:eastAsia="zh-CN"/>
              </w:rPr>
            </w:pPr>
            <w:proofErr w:type="spellStart"/>
            <w:r>
              <w:rPr>
                <w:rFonts w:eastAsia="Times New Roman"/>
                <w:sz w:val="24"/>
                <w:szCs w:val="24"/>
                <w:lang w:val="en-US" w:eastAsia="zh-CN"/>
              </w:rPr>
              <w:t>Macmillian</w:t>
            </w:r>
            <w:proofErr w:type="spellEnd"/>
          </w:p>
          <w:p w:rsidR="00ED2B89" w:rsidRDefault="00ED2B89" w:rsidP="00ED2B89">
            <w:pPr>
              <w:numPr>
                <w:ilvl w:val="0"/>
                <w:numId w:val="1"/>
              </w:numPr>
              <w:spacing w:after="0" w:line="240" w:lineRule="auto"/>
              <w:ind w:firstLineChars="100" w:firstLine="240"/>
              <w:rPr>
                <w:rFonts w:eastAsia="Times New Roman"/>
                <w:sz w:val="24"/>
                <w:szCs w:val="24"/>
                <w:lang w:eastAsia="zh-CN"/>
              </w:rPr>
            </w:pPr>
            <w:proofErr w:type="spellStart"/>
            <w:r>
              <w:rPr>
                <w:rFonts w:eastAsia="Times New Roman"/>
                <w:sz w:val="24"/>
                <w:szCs w:val="24"/>
                <w:lang w:val="en-US" w:eastAsia="zh-CN"/>
              </w:rPr>
              <w:t>Interpress</w:t>
            </w:r>
            <w:proofErr w:type="spellEnd"/>
          </w:p>
        </w:tc>
      </w:tr>
    </w:tbl>
    <w:p w:rsidR="00655BD2" w:rsidRDefault="00655BD2">
      <w:bookmarkStart w:id="0" w:name="_GoBack"/>
      <w:bookmarkEnd w:id="0"/>
    </w:p>
    <w:sectPr w:rsidR="00655B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1D3F4A"/>
    <w:multiLevelType w:val="singleLevel"/>
    <w:tmpl w:val="551D3F4A"/>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89"/>
    <w:rsid w:val="00655BD2"/>
    <w:rsid w:val="00ED2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6E7E4-FC58-4765-89C2-847A2C1A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B8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2B89"/>
    <w:rPr>
      <w:color w:val="0563C1" w:themeColor="hyperlink"/>
      <w:u w:val="single"/>
    </w:rPr>
  </w:style>
  <w:style w:type="table" w:styleId="a4">
    <w:name w:val="Table Grid"/>
    <w:basedOn w:val="a1"/>
    <w:uiPriority w:val="59"/>
    <w:rsid w:val="00ED2B89"/>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lcome.kaznu.kz/ru/education_programs/bachelor/speciality/194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1132</Words>
  <Characters>6459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Dushaeva Kamilya</dc:creator>
  <cp:keywords/>
  <dc:description/>
  <cp:lastModifiedBy>Dushaeva Kamilya</cp:lastModifiedBy>
  <cp:revision>1</cp:revision>
  <dcterms:created xsi:type="dcterms:W3CDTF">2021-11-22T11:56:00Z</dcterms:created>
  <dcterms:modified xsi:type="dcterms:W3CDTF">2021-11-22T11:58:00Z</dcterms:modified>
</cp:coreProperties>
</file>